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3A56E" w14:textId="77777777" w:rsidR="00200D1B" w:rsidRPr="00BE3580" w:rsidRDefault="0087022F" w:rsidP="00CC326C">
      <w:pPr>
        <w:spacing w:after="0" w:line="240" w:lineRule="auto"/>
        <w:rPr>
          <w:rFonts w:ascii="Verdana" w:hAnsi="Verdana"/>
          <w:sz w:val="24"/>
          <w:szCs w:val="24"/>
        </w:rPr>
      </w:pPr>
      <w:bookmarkStart w:id="0" w:name="_GoBack"/>
      <w:bookmarkEnd w:id="0"/>
      <w:r>
        <w:rPr>
          <w:rFonts w:ascii="Verdana" w:hAnsi="Verdana"/>
          <w:noProof/>
          <w:sz w:val="24"/>
          <w:szCs w:val="24"/>
        </w:rPr>
        <w:pict w14:anchorId="1C187B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06pt;margin-top:-1in;width:215.4pt;height:102.6pt;z-index:251657728;mso-position-horizontal-relative:margin;mso-position-vertical-relative:margin">
            <v:imagedata r:id="rId8" o:title=""/>
            <w10:wrap type="square" anchorx="margin" anchory="margin"/>
          </v:shape>
          <o:OLEObject Type="Embed" ProgID="PBrush" ShapeID="_x0000_s1028" DrawAspect="Content" ObjectID="_1583157863" r:id="rId9"/>
        </w:pict>
      </w:r>
    </w:p>
    <w:p w14:paraId="413E33FE" w14:textId="77777777" w:rsidR="0076282B" w:rsidRPr="00BE3580" w:rsidRDefault="0076282B" w:rsidP="00CC326C">
      <w:pPr>
        <w:spacing w:after="0" w:line="240" w:lineRule="auto"/>
        <w:rPr>
          <w:rFonts w:ascii="Verdana" w:hAnsi="Verdana"/>
          <w:sz w:val="24"/>
          <w:szCs w:val="24"/>
        </w:rPr>
      </w:pPr>
    </w:p>
    <w:p w14:paraId="0A5D789C" w14:textId="77777777" w:rsidR="0076282B" w:rsidRPr="00BE3580" w:rsidRDefault="0076282B" w:rsidP="00CC326C">
      <w:pPr>
        <w:spacing w:after="0" w:line="240" w:lineRule="auto"/>
        <w:rPr>
          <w:rFonts w:ascii="Verdana" w:hAnsi="Verdana"/>
          <w:sz w:val="24"/>
          <w:szCs w:val="24"/>
        </w:rPr>
      </w:pPr>
    </w:p>
    <w:p w14:paraId="3EE8AA46" w14:textId="77777777" w:rsidR="0076282B" w:rsidRPr="00BE3580" w:rsidRDefault="0076282B" w:rsidP="00CC326C">
      <w:pPr>
        <w:spacing w:after="0" w:line="240" w:lineRule="auto"/>
        <w:rPr>
          <w:rFonts w:ascii="Verdana" w:hAnsi="Verdana"/>
          <w:sz w:val="24"/>
          <w:szCs w:val="24"/>
        </w:rPr>
      </w:pPr>
    </w:p>
    <w:p w14:paraId="7ED922B5" w14:textId="77777777" w:rsidR="0076282B" w:rsidRPr="00BE3580" w:rsidRDefault="0076282B" w:rsidP="00CC326C">
      <w:pPr>
        <w:spacing w:after="0" w:line="240" w:lineRule="auto"/>
        <w:rPr>
          <w:rFonts w:ascii="Verdana" w:hAnsi="Verdana"/>
          <w:sz w:val="24"/>
          <w:szCs w:val="24"/>
        </w:rPr>
      </w:pPr>
    </w:p>
    <w:p w14:paraId="6B156D71" w14:textId="77777777" w:rsidR="0076282B" w:rsidRDefault="0076282B" w:rsidP="00CC326C">
      <w:pPr>
        <w:spacing w:after="0" w:line="240" w:lineRule="auto"/>
        <w:rPr>
          <w:sz w:val="24"/>
          <w:szCs w:val="24"/>
        </w:rPr>
      </w:pPr>
    </w:p>
    <w:p w14:paraId="30147346" w14:textId="77777777" w:rsidR="0076282B" w:rsidRDefault="003D0941" w:rsidP="00CC326C">
      <w:pPr>
        <w:spacing w:after="0" w:line="240" w:lineRule="auto"/>
        <w:rPr>
          <w:rFonts w:ascii="Verdana" w:hAnsi="Verdana"/>
          <w:sz w:val="24"/>
          <w:szCs w:val="24"/>
        </w:rPr>
      </w:pPr>
      <w:r>
        <w:rPr>
          <w:rFonts w:ascii="Verdana" w:hAnsi="Verdana"/>
          <w:sz w:val="24"/>
          <w:szCs w:val="24"/>
        </w:rPr>
        <w:t>Geoffrey Raw</w:t>
      </w:r>
    </w:p>
    <w:p w14:paraId="1B971B93" w14:textId="77777777" w:rsidR="00187E50" w:rsidRDefault="00187E50" w:rsidP="00CC326C">
      <w:pPr>
        <w:spacing w:after="0" w:line="240" w:lineRule="auto"/>
        <w:rPr>
          <w:rFonts w:ascii="Verdana" w:hAnsi="Verdana"/>
          <w:sz w:val="24"/>
          <w:szCs w:val="24"/>
        </w:rPr>
      </w:pPr>
      <w:r>
        <w:rPr>
          <w:rFonts w:ascii="Verdana" w:hAnsi="Verdana"/>
          <w:sz w:val="24"/>
          <w:szCs w:val="24"/>
        </w:rPr>
        <w:t>Chief Executive</w:t>
      </w:r>
    </w:p>
    <w:p w14:paraId="0F099366" w14:textId="77777777" w:rsidR="004F3313" w:rsidRDefault="004F3313" w:rsidP="00CC326C">
      <w:pPr>
        <w:spacing w:after="0" w:line="240" w:lineRule="auto"/>
        <w:rPr>
          <w:rFonts w:ascii="Verdana" w:hAnsi="Verdana"/>
          <w:sz w:val="24"/>
          <w:szCs w:val="24"/>
        </w:rPr>
      </w:pPr>
      <w:r>
        <w:rPr>
          <w:rFonts w:ascii="Verdana" w:hAnsi="Verdana"/>
          <w:sz w:val="24"/>
          <w:szCs w:val="24"/>
        </w:rPr>
        <w:t>Brighton and Hove City Council</w:t>
      </w:r>
    </w:p>
    <w:p w14:paraId="7D685DFB" w14:textId="77777777" w:rsidR="004F3313" w:rsidRDefault="004F3313" w:rsidP="00CC326C">
      <w:pPr>
        <w:spacing w:after="0" w:line="240" w:lineRule="auto"/>
        <w:rPr>
          <w:rFonts w:ascii="Verdana" w:hAnsi="Verdana"/>
          <w:sz w:val="24"/>
          <w:szCs w:val="24"/>
        </w:rPr>
      </w:pPr>
      <w:r>
        <w:rPr>
          <w:rFonts w:ascii="Verdana" w:hAnsi="Verdana"/>
          <w:sz w:val="24"/>
          <w:szCs w:val="24"/>
        </w:rPr>
        <w:t>Bartholomew Square</w:t>
      </w:r>
    </w:p>
    <w:p w14:paraId="27EA73A6" w14:textId="77777777" w:rsidR="00187E50" w:rsidRDefault="00187E50" w:rsidP="00CC326C">
      <w:pPr>
        <w:spacing w:after="0" w:line="240" w:lineRule="auto"/>
        <w:rPr>
          <w:rFonts w:ascii="Verdana" w:hAnsi="Verdana"/>
          <w:sz w:val="24"/>
          <w:szCs w:val="24"/>
        </w:rPr>
      </w:pPr>
      <w:r>
        <w:rPr>
          <w:rFonts w:ascii="Verdana" w:hAnsi="Verdana"/>
          <w:sz w:val="24"/>
          <w:szCs w:val="24"/>
        </w:rPr>
        <w:t>BN1</w:t>
      </w:r>
    </w:p>
    <w:p w14:paraId="68637EBE" w14:textId="77777777" w:rsidR="00187E50" w:rsidRPr="0076282B" w:rsidRDefault="00187E50" w:rsidP="00CC326C">
      <w:pPr>
        <w:spacing w:after="0" w:line="240" w:lineRule="auto"/>
        <w:rPr>
          <w:rFonts w:ascii="Verdana" w:hAnsi="Verdana"/>
          <w:sz w:val="24"/>
          <w:szCs w:val="24"/>
        </w:rPr>
      </w:pPr>
    </w:p>
    <w:p w14:paraId="4C023E40" w14:textId="77777777" w:rsidR="0076282B" w:rsidRPr="0076282B" w:rsidRDefault="0038026E" w:rsidP="00CC326C">
      <w:pPr>
        <w:spacing w:after="0" w:line="240" w:lineRule="auto"/>
        <w:rPr>
          <w:rFonts w:ascii="Verdana" w:hAnsi="Verdana"/>
          <w:sz w:val="24"/>
          <w:szCs w:val="24"/>
        </w:rPr>
      </w:pPr>
      <w:r>
        <w:rPr>
          <w:rFonts w:ascii="Verdana" w:hAnsi="Verdana"/>
          <w:sz w:val="24"/>
          <w:szCs w:val="24"/>
        </w:rPr>
        <w:t>21</w:t>
      </w:r>
      <w:r w:rsidR="00187E50">
        <w:rPr>
          <w:rFonts w:ascii="Verdana" w:hAnsi="Verdana"/>
          <w:sz w:val="24"/>
          <w:szCs w:val="24"/>
        </w:rPr>
        <w:t xml:space="preserve"> January 2018</w:t>
      </w:r>
    </w:p>
    <w:p w14:paraId="0D1B076D" w14:textId="77777777" w:rsidR="0076282B" w:rsidRPr="0076282B" w:rsidRDefault="0076282B" w:rsidP="00CC326C">
      <w:pPr>
        <w:spacing w:after="0" w:line="240" w:lineRule="auto"/>
        <w:rPr>
          <w:rFonts w:ascii="Verdana" w:hAnsi="Verdana"/>
          <w:sz w:val="24"/>
          <w:szCs w:val="24"/>
        </w:rPr>
      </w:pPr>
    </w:p>
    <w:p w14:paraId="60F8A2D5" w14:textId="77777777" w:rsidR="0076282B" w:rsidRPr="0076282B" w:rsidRDefault="0076282B" w:rsidP="00CC326C">
      <w:pPr>
        <w:spacing w:after="0" w:line="240" w:lineRule="auto"/>
        <w:rPr>
          <w:rFonts w:ascii="Verdana" w:hAnsi="Verdana"/>
          <w:sz w:val="24"/>
          <w:szCs w:val="24"/>
        </w:rPr>
      </w:pPr>
    </w:p>
    <w:p w14:paraId="3D8BB519" w14:textId="77777777" w:rsidR="0076282B" w:rsidRPr="0076282B" w:rsidRDefault="0076282B" w:rsidP="00CC326C">
      <w:pPr>
        <w:spacing w:after="0" w:line="240" w:lineRule="auto"/>
        <w:rPr>
          <w:rFonts w:ascii="Verdana" w:hAnsi="Verdana"/>
          <w:sz w:val="24"/>
          <w:szCs w:val="24"/>
        </w:rPr>
      </w:pPr>
    </w:p>
    <w:p w14:paraId="33AF5341" w14:textId="77777777" w:rsidR="0076282B" w:rsidRDefault="008C072C" w:rsidP="00CC326C">
      <w:pPr>
        <w:spacing w:after="0" w:line="240" w:lineRule="auto"/>
        <w:rPr>
          <w:rFonts w:ascii="Verdana" w:hAnsi="Verdana"/>
          <w:sz w:val="24"/>
          <w:szCs w:val="24"/>
        </w:rPr>
      </w:pPr>
      <w:r>
        <w:rPr>
          <w:rFonts w:ascii="Verdana" w:hAnsi="Verdana"/>
          <w:sz w:val="24"/>
          <w:szCs w:val="24"/>
        </w:rPr>
        <w:t xml:space="preserve">Dear </w:t>
      </w:r>
      <w:r w:rsidR="003D0941">
        <w:rPr>
          <w:rFonts w:ascii="Verdana" w:hAnsi="Verdana"/>
          <w:sz w:val="24"/>
          <w:szCs w:val="24"/>
        </w:rPr>
        <w:t>Geoffrey</w:t>
      </w:r>
    </w:p>
    <w:p w14:paraId="6819AFEA" w14:textId="77777777" w:rsidR="00187E50" w:rsidRDefault="00187E50" w:rsidP="00CC326C">
      <w:pPr>
        <w:spacing w:after="0" w:line="240" w:lineRule="auto"/>
        <w:rPr>
          <w:rFonts w:ascii="Verdana" w:hAnsi="Verdana"/>
          <w:sz w:val="24"/>
          <w:szCs w:val="24"/>
        </w:rPr>
      </w:pPr>
    </w:p>
    <w:p w14:paraId="3C7E92E7" w14:textId="77777777" w:rsidR="005E0225" w:rsidRDefault="00187E50" w:rsidP="005E0225">
      <w:pPr>
        <w:pStyle w:val="Default"/>
      </w:pPr>
      <w:r w:rsidRPr="00BE3580">
        <w:rPr>
          <w:rFonts w:ascii="Verdana" w:hAnsi="Verdana"/>
          <w:b/>
        </w:rPr>
        <w:t>Re:</w:t>
      </w:r>
      <w:r w:rsidR="005E0225">
        <w:rPr>
          <w:rFonts w:ascii="Verdana" w:hAnsi="Verdana"/>
          <w:b/>
        </w:rPr>
        <w:t xml:space="preserve"> </w:t>
      </w:r>
      <w:r w:rsidR="005E0225" w:rsidRPr="005E0225">
        <w:t xml:space="preserve"> </w:t>
      </w:r>
      <w:r w:rsidR="005E0225" w:rsidRPr="00634DB6">
        <w:rPr>
          <w:b/>
        </w:rPr>
        <w:t>Anti-social Behaviour, Crime and Policing Act 2014: Anti-social behaviour powers Statutory guidance for frontline professionals, Updated December 2017</w:t>
      </w:r>
      <w:r w:rsidR="005E0225">
        <w:t>.</w:t>
      </w:r>
    </w:p>
    <w:p w14:paraId="5ED67B29" w14:textId="77777777" w:rsidR="00AA2160" w:rsidRDefault="00AA2160" w:rsidP="00CC326C">
      <w:pPr>
        <w:spacing w:after="0" w:line="240" w:lineRule="auto"/>
        <w:rPr>
          <w:rFonts w:ascii="Verdana" w:hAnsi="Verdana"/>
          <w:sz w:val="24"/>
          <w:szCs w:val="24"/>
        </w:rPr>
      </w:pPr>
    </w:p>
    <w:p w14:paraId="653FCC87" w14:textId="77777777" w:rsidR="00AA2160" w:rsidRDefault="005E0225" w:rsidP="00CC326C">
      <w:pPr>
        <w:spacing w:after="0" w:line="240" w:lineRule="auto"/>
        <w:rPr>
          <w:rFonts w:ascii="Verdana" w:hAnsi="Verdana"/>
          <w:sz w:val="24"/>
          <w:szCs w:val="24"/>
        </w:rPr>
      </w:pPr>
      <w:r>
        <w:rPr>
          <w:rFonts w:ascii="Verdana" w:hAnsi="Verdana"/>
          <w:sz w:val="24"/>
          <w:szCs w:val="24"/>
        </w:rPr>
        <w:t>I am writing because updated guidance</w:t>
      </w:r>
      <w:r w:rsidR="00634DB6">
        <w:rPr>
          <w:rFonts w:ascii="Verdana" w:hAnsi="Verdana"/>
          <w:sz w:val="24"/>
          <w:szCs w:val="24"/>
        </w:rPr>
        <w:t xml:space="preserve"> on the use of Anti-social behaviour powers</w:t>
      </w:r>
      <w:r>
        <w:rPr>
          <w:rFonts w:ascii="Verdana" w:hAnsi="Verdana"/>
          <w:sz w:val="24"/>
          <w:szCs w:val="24"/>
        </w:rPr>
        <w:t xml:space="preserve"> has recently</w:t>
      </w:r>
      <w:r w:rsidR="00AA2160">
        <w:rPr>
          <w:rFonts w:ascii="Verdana" w:hAnsi="Verdana"/>
          <w:sz w:val="24"/>
          <w:szCs w:val="24"/>
        </w:rPr>
        <w:t xml:space="preserve"> been published by the</w:t>
      </w:r>
      <w:r>
        <w:rPr>
          <w:rFonts w:ascii="Verdana" w:hAnsi="Verdana"/>
          <w:sz w:val="24"/>
          <w:szCs w:val="24"/>
        </w:rPr>
        <w:t xml:space="preserve"> Home Office, in December 2017; updated in the light of experience since the new powers were introduced.</w:t>
      </w:r>
    </w:p>
    <w:p w14:paraId="5B9641D0" w14:textId="77777777" w:rsidR="005E0225" w:rsidRDefault="005E0225" w:rsidP="00CC326C">
      <w:pPr>
        <w:spacing w:after="0" w:line="240" w:lineRule="auto"/>
        <w:rPr>
          <w:rFonts w:ascii="Verdana" w:hAnsi="Verdana"/>
          <w:sz w:val="24"/>
          <w:szCs w:val="24"/>
        </w:rPr>
      </w:pPr>
    </w:p>
    <w:p w14:paraId="2E67C28C" w14:textId="77777777" w:rsidR="005E0225" w:rsidRDefault="005E0225" w:rsidP="00CC326C">
      <w:pPr>
        <w:spacing w:after="0" w:line="240" w:lineRule="auto"/>
        <w:rPr>
          <w:rFonts w:ascii="Verdana" w:hAnsi="Verdana"/>
          <w:sz w:val="24"/>
          <w:szCs w:val="24"/>
        </w:rPr>
      </w:pPr>
      <w:r>
        <w:rPr>
          <w:rFonts w:ascii="Verdana" w:hAnsi="Verdana"/>
          <w:sz w:val="24"/>
          <w:szCs w:val="24"/>
        </w:rPr>
        <w:t>The introduction states that the changes in the Guidance will help to ensure the relevant legal tests are met before the powers are used, and that the updated guidance emphasises the importance of ensuring that the powers are used appropriately to provide a proportionate response</w:t>
      </w:r>
      <w:r w:rsidR="00CB064F">
        <w:rPr>
          <w:rFonts w:ascii="Verdana" w:hAnsi="Verdana"/>
          <w:sz w:val="24"/>
          <w:szCs w:val="24"/>
        </w:rPr>
        <w:t xml:space="preserve"> to the specific behaviour that is causing harm or nuisance without impacting adversely on behaviour that is neither unlawful or anti-social.</w:t>
      </w:r>
    </w:p>
    <w:p w14:paraId="5D9F439C" w14:textId="77777777" w:rsidR="005E0225" w:rsidRDefault="005E0225" w:rsidP="00CC326C">
      <w:pPr>
        <w:spacing w:after="0" w:line="240" w:lineRule="auto"/>
        <w:rPr>
          <w:rFonts w:ascii="Verdana" w:hAnsi="Verdana"/>
          <w:sz w:val="24"/>
          <w:szCs w:val="24"/>
        </w:rPr>
      </w:pPr>
    </w:p>
    <w:p w14:paraId="41F18DD7" w14:textId="77777777" w:rsidR="00AA2160" w:rsidRDefault="00AA2160" w:rsidP="00CC326C">
      <w:pPr>
        <w:spacing w:after="0" w:line="240" w:lineRule="auto"/>
        <w:rPr>
          <w:rFonts w:ascii="Verdana" w:hAnsi="Verdana"/>
          <w:sz w:val="24"/>
          <w:szCs w:val="24"/>
        </w:rPr>
      </w:pPr>
      <w:r>
        <w:rPr>
          <w:rFonts w:ascii="Verdana" w:hAnsi="Verdana"/>
          <w:sz w:val="24"/>
          <w:szCs w:val="24"/>
        </w:rPr>
        <w:t xml:space="preserve">At page 48 it states </w:t>
      </w:r>
      <w:r w:rsidRPr="00AA2160">
        <w:rPr>
          <w:rFonts w:ascii="Verdana" w:hAnsi="Verdana"/>
          <w:sz w:val="24"/>
          <w:szCs w:val="24"/>
        </w:rPr>
        <w:t>“Given that these orders can restrict what people can do and how they behave</w:t>
      </w:r>
      <w:r w:rsidRPr="00AA2160">
        <w:rPr>
          <w:rFonts w:ascii="Verdana" w:hAnsi="Verdana"/>
          <w:b/>
          <w:sz w:val="24"/>
          <w:szCs w:val="24"/>
        </w:rPr>
        <w:t xml:space="preserve"> </w:t>
      </w:r>
      <w:r w:rsidRPr="00AA2160">
        <w:rPr>
          <w:rFonts w:ascii="Verdana" w:hAnsi="Verdana"/>
          <w:sz w:val="24"/>
          <w:szCs w:val="24"/>
        </w:rPr>
        <w:t>in public spaces, it  is important that the restrictions imposed are focused on specific behaviours</w:t>
      </w:r>
      <w:r w:rsidRPr="00AA2160">
        <w:rPr>
          <w:rFonts w:ascii="Verdana" w:hAnsi="Verdana"/>
          <w:b/>
          <w:sz w:val="24"/>
          <w:szCs w:val="24"/>
        </w:rPr>
        <w:t xml:space="preserve"> </w:t>
      </w:r>
      <w:r w:rsidRPr="00AA2160">
        <w:rPr>
          <w:rFonts w:ascii="Verdana" w:hAnsi="Verdana"/>
          <w:sz w:val="24"/>
          <w:szCs w:val="24"/>
        </w:rPr>
        <w:t>and are proportionate to the detrimental effect that the behaviour is causing or can cause, and are necessary to prevent it from continuing, occurring or recurring</w:t>
      </w:r>
      <w:r w:rsidR="00BE3580">
        <w:rPr>
          <w:rFonts w:ascii="Verdana" w:hAnsi="Verdana"/>
          <w:sz w:val="24"/>
          <w:szCs w:val="24"/>
        </w:rPr>
        <w:t>.”</w:t>
      </w:r>
    </w:p>
    <w:p w14:paraId="6ADB4699" w14:textId="77777777" w:rsidR="00BE3580" w:rsidRDefault="00BE3580" w:rsidP="00CC326C">
      <w:pPr>
        <w:spacing w:after="0" w:line="240" w:lineRule="auto"/>
        <w:rPr>
          <w:rFonts w:ascii="Verdana" w:hAnsi="Verdana"/>
          <w:sz w:val="24"/>
          <w:szCs w:val="24"/>
        </w:rPr>
      </w:pPr>
    </w:p>
    <w:p w14:paraId="79303F15" w14:textId="77777777" w:rsidR="00BE3580" w:rsidRDefault="00BE3580" w:rsidP="00BE3580">
      <w:pPr>
        <w:widowControl w:val="0"/>
        <w:tabs>
          <w:tab w:val="left" w:pos="0"/>
          <w:tab w:val="left" w:pos="1134"/>
          <w:tab w:val="left" w:pos="2268"/>
          <w:tab w:val="left" w:pos="4464"/>
        </w:tabs>
        <w:jc w:val="both"/>
        <w:rPr>
          <w:rFonts w:ascii="Verdana" w:hAnsi="Verdana"/>
          <w:sz w:val="24"/>
          <w:szCs w:val="24"/>
        </w:rPr>
      </w:pPr>
      <w:r>
        <w:rPr>
          <w:rFonts w:ascii="Verdana" w:hAnsi="Verdana"/>
          <w:sz w:val="24"/>
          <w:szCs w:val="24"/>
        </w:rPr>
        <w:t xml:space="preserve">At page 49 it states </w:t>
      </w:r>
      <w:r w:rsidRPr="00BE3580">
        <w:rPr>
          <w:rFonts w:ascii="Verdana" w:hAnsi="Verdana"/>
          <w:sz w:val="24"/>
          <w:szCs w:val="24"/>
        </w:rPr>
        <w:t xml:space="preserve">““In deciding to place restrictions on a particular public space, councils should consider the knock on effects of that decision and ensure that this is a reasonable and proportionate response to incidents of anti-social behaviour in the area. Introducing a blanket ban on a particular </w:t>
      </w:r>
      <w:r w:rsidRPr="00BE3580">
        <w:rPr>
          <w:rFonts w:ascii="Verdana" w:hAnsi="Verdana"/>
          <w:sz w:val="24"/>
          <w:szCs w:val="24"/>
        </w:rPr>
        <w:lastRenderedPageBreak/>
        <w:t>activity may simply displace the behaviour and create victims elsewhere.”</w:t>
      </w:r>
    </w:p>
    <w:p w14:paraId="4AF11139" w14:textId="77777777" w:rsidR="00634DB6" w:rsidRDefault="00634DB6" w:rsidP="00BE3580">
      <w:pPr>
        <w:widowControl w:val="0"/>
        <w:tabs>
          <w:tab w:val="left" w:pos="0"/>
          <w:tab w:val="left" w:pos="1134"/>
          <w:tab w:val="left" w:pos="2268"/>
          <w:tab w:val="left" w:pos="4464"/>
        </w:tabs>
        <w:jc w:val="both"/>
        <w:rPr>
          <w:rFonts w:ascii="Verdana" w:hAnsi="Verdana"/>
          <w:sz w:val="24"/>
          <w:szCs w:val="24"/>
        </w:rPr>
      </w:pPr>
      <w:r>
        <w:rPr>
          <w:rFonts w:ascii="Verdana" w:hAnsi="Verdana"/>
          <w:sz w:val="24"/>
          <w:szCs w:val="24"/>
        </w:rPr>
        <w:t>On</w:t>
      </w:r>
      <w:r w:rsidR="00BE3580" w:rsidRPr="00BE3580">
        <w:rPr>
          <w:rFonts w:ascii="Verdana" w:hAnsi="Verdana"/>
          <w:sz w:val="24"/>
          <w:szCs w:val="24"/>
        </w:rPr>
        <w:t xml:space="preserve"> page 51</w:t>
      </w:r>
      <w:r>
        <w:rPr>
          <w:rFonts w:ascii="Verdana" w:hAnsi="Verdana"/>
          <w:sz w:val="24"/>
          <w:szCs w:val="24"/>
        </w:rPr>
        <w:t xml:space="preserve"> there is a highlighted box entitled ‘Homeless people and rough sleepers’.  It states:</w:t>
      </w:r>
    </w:p>
    <w:p w14:paraId="1D2E96A5" w14:textId="77777777" w:rsidR="00634DB6" w:rsidRDefault="00634DB6" w:rsidP="00634DB6">
      <w:pPr>
        <w:pStyle w:val="Default"/>
        <w:jc w:val="both"/>
        <w:rPr>
          <w:sz w:val="23"/>
          <w:szCs w:val="23"/>
        </w:rPr>
      </w:pPr>
      <w:r>
        <w:rPr>
          <w:sz w:val="23"/>
          <w:szCs w:val="23"/>
        </w:rPr>
        <w:t xml:space="preserve">Public Spaces Protection Orders should not be used to target people based solely on the fact that someone is homeless or rough sleeping, as this in itself is unlikely to mean that such behaviour is having an unreasonably detrimental effect on the community’s quality of life which justifies the restrictions imposed. Councils may receive complaints about homeless people, but they should consider whether the use of a Public Spaces Protection Order is the appropriate response. These Orders should be used only to address any specific behaviour that is causing a detrimental effect on the community’s quality of life which is beyond the control of the person concerned. </w:t>
      </w:r>
    </w:p>
    <w:p w14:paraId="1F55F0BD" w14:textId="77777777" w:rsidR="00634DB6" w:rsidRDefault="00634DB6" w:rsidP="00634DB6">
      <w:pPr>
        <w:pStyle w:val="Default"/>
        <w:jc w:val="both"/>
        <w:rPr>
          <w:sz w:val="23"/>
          <w:szCs w:val="23"/>
        </w:rPr>
      </w:pPr>
      <w:r>
        <w:rPr>
          <w:sz w:val="23"/>
          <w:szCs w:val="23"/>
        </w:rPr>
        <w:t xml:space="preserve">Councils should therefore consider carefully the nature of any potential Public Spaces Protection Order that may impact on homeless people and rough sleepers. It is recommended that any Order defines precisely the specific activity or behaviour that is having the detrimental impact on the community. Councils should also consider measures that tackle the root causes of the behaviour, such as the provision of public toilets. </w:t>
      </w:r>
    </w:p>
    <w:p w14:paraId="3F01505C" w14:textId="77777777" w:rsidR="00634DB6" w:rsidRPr="00634DB6" w:rsidRDefault="00634DB6" w:rsidP="00634DB6">
      <w:pPr>
        <w:widowControl w:val="0"/>
        <w:tabs>
          <w:tab w:val="left" w:pos="0"/>
          <w:tab w:val="left" w:pos="1134"/>
          <w:tab w:val="left" w:pos="2268"/>
          <w:tab w:val="left" w:pos="4464"/>
        </w:tabs>
        <w:jc w:val="both"/>
        <w:rPr>
          <w:rFonts w:ascii="Arial" w:hAnsi="Arial" w:cs="Arial"/>
          <w:sz w:val="24"/>
          <w:szCs w:val="24"/>
        </w:rPr>
      </w:pPr>
      <w:r w:rsidRPr="00634DB6">
        <w:rPr>
          <w:rFonts w:ascii="Arial" w:hAnsi="Arial" w:cs="Arial"/>
          <w:sz w:val="23"/>
          <w:szCs w:val="23"/>
        </w:rPr>
        <w:t xml:space="preserve">The council should also consider consulting with national or local homeless charities when considering restrictions or requirements which may impact on homeless people and rough sleepers. </w:t>
      </w:r>
    </w:p>
    <w:p w14:paraId="3074C120" w14:textId="77777777" w:rsidR="00634DB6" w:rsidRDefault="00634DB6" w:rsidP="00BE3580">
      <w:pPr>
        <w:widowControl w:val="0"/>
        <w:tabs>
          <w:tab w:val="left" w:pos="0"/>
          <w:tab w:val="left" w:pos="1134"/>
          <w:tab w:val="left" w:pos="2268"/>
          <w:tab w:val="left" w:pos="4464"/>
        </w:tabs>
        <w:jc w:val="both"/>
        <w:rPr>
          <w:rFonts w:ascii="Verdana" w:hAnsi="Verdana"/>
          <w:sz w:val="24"/>
          <w:szCs w:val="24"/>
        </w:rPr>
      </w:pPr>
      <w:r>
        <w:rPr>
          <w:rFonts w:ascii="Verdana" w:hAnsi="Verdana"/>
          <w:sz w:val="24"/>
          <w:szCs w:val="24"/>
        </w:rPr>
        <w:t>Brighton and Hove City Council’s PSPOs on the twelve locations go</w:t>
      </w:r>
      <w:r w:rsidR="00C620F7">
        <w:rPr>
          <w:rFonts w:ascii="Verdana" w:hAnsi="Verdana"/>
          <w:sz w:val="24"/>
          <w:szCs w:val="24"/>
        </w:rPr>
        <w:t>es directly against this advice, as the mere existence of a caravan on one of the locations in Brighton is covered by a PSPO, without any anti-social activities whatsoever.</w:t>
      </w:r>
    </w:p>
    <w:p w14:paraId="0A21AB17" w14:textId="77777777" w:rsidR="00BE3580" w:rsidRDefault="00BE3580" w:rsidP="00BE3580">
      <w:pPr>
        <w:widowControl w:val="0"/>
        <w:tabs>
          <w:tab w:val="left" w:pos="0"/>
          <w:tab w:val="left" w:pos="1134"/>
          <w:tab w:val="left" w:pos="2268"/>
          <w:tab w:val="left" w:pos="4464"/>
        </w:tabs>
        <w:jc w:val="both"/>
        <w:rPr>
          <w:rFonts w:ascii="Verdana" w:hAnsi="Verdana"/>
          <w:sz w:val="24"/>
          <w:szCs w:val="24"/>
        </w:rPr>
      </w:pPr>
      <w:r w:rsidRPr="00BE3580">
        <w:rPr>
          <w:rFonts w:ascii="Verdana" w:hAnsi="Verdana"/>
          <w:sz w:val="24"/>
          <w:szCs w:val="24"/>
        </w:rPr>
        <w:t xml:space="preserve">A Gypsy or Traveller who has to resort to unauthorised encampments is homeless in statutory terms (Housing Act 1996 s175 and Housing (Wales) Act 2014 s55). Therefore </w:t>
      </w:r>
      <w:r>
        <w:rPr>
          <w:rFonts w:ascii="Verdana" w:hAnsi="Verdana"/>
          <w:sz w:val="24"/>
          <w:szCs w:val="24"/>
        </w:rPr>
        <w:t>PSPOs should not be</w:t>
      </w:r>
      <w:r w:rsidRPr="00BE3580">
        <w:rPr>
          <w:rFonts w:ascii="Verdana" w:hAnsi="Verdana"/>
          <w:sz w:val="24"/>
          <w:szCs w:val="24"/>
        </w:rPr>
        <w:t xml:space="preserve"> targeted at unauthorised encampments.</w:t>
      </w:r>
    </w:p>
    <w:p w14:paraId="48AD4940" w14:textId="77777777" w:rsidR="008C1176" w:rsidRPr="008C1176" w:rsidRDefault="008C1176" w:rsidP="008C1176">
      <w:pPr>
        <w:widowControl w:val="0"/>
        <w:tabs>
          <w:tab w:val="left" w:pos="504"/>
          <w:tab w:val="left" w:pos="2304"/>
          <w:tab w:val="left" w:pos="4464"/>
        </w:tabs>
        <w:jc w:val="both"/>
        <w:rPr>
          <w:rFonts w:ascii="Verdana" w:hAnsi="Verdana"/>
          <w:sz w:val="24"/>
          <w:szCs w:val="24"/>
        </w:rPr>
      </w:pPr>
      <w:r w:rsidRPr="008C1176">
        <w:rPr>
          <w:rFonts w:ascii="Verdana" w:hAnsi="Verdana"/>
          <w:sz w:val="24"/>
          <w:szCs w:val="24"/>
        </w:rPr>
        <w:t xml:space="preserve">The fact that emphasis is placed on the rights of freedom of expression and freedom of assembly suggests that unauthorised encampments are not the target of PSPOs.  The obvious convention right involved in an unauthorised encampment is the right to respect for private and family life and home (Article 8) and not Articles 10 and 11. </w:t>
      </w:r>
    </w:p>
    <w:p w14:paraId="3AE0096C" w14:textId="77777777" w:rsidR="008C1176" w:rsidRPr="008C1176" w:rsidRDefault="008C1176" w:rsidP="008C1176">
      <w:pPr>
        <w:widowControl w:val="0"/>
        <w:tabs>
          <w:tab w:val="left" w:pos="0"/>
          <w:tab w:val="left" w:pos="1134"/>
          <w:tab w:val="left" w:pos="2268"/>
          <w:tab w:val="left" w:pos="4464"/>
        </w:tabs>
        <w:jc w:val="both"/>
        <w:rPr>
          <w:rFonts w:ascii="Verdana" w:hAnsi="Verdana"/>
          <w:sz w:val="24"/>
          <w:szCs w:val="24"/>
        </w:rPr>
      </w:pPr>
      <w:r w:rsidRPr="008C1176">
        <w:rPr>
          <w:rFonts w:ascii="Verdana" w:hAnsi="Verdana"/>
          <w:sz w:val="24"/>
          <w:szCs w:val="24"/>
        </w:rPr>
        <w:t xml:space="preserve">With regard to Article 8 of the European Convention it is important to apply the structured approach as explained by Lord Steyn in </w:t>
      </w:r>
      <w:r w:rsidRPr="008C1176">
        <w:rPr>
          <w:rFonts w:ascii="Verdana" w:hAnsi="Verdana"/>
          <w:i/>
          <w:sz w:val="24"/>
          <w:szCs w:val="24"/>
        </w:rPr>
        <w:t>R –v- Secretary of State for the Home Department ex parte Daly</w:t>
      </w:r>
      <w:r w:rsidRPr="008C1176">
        <w:rPr>
          <w:rFonts w:ascii="Verdana" w:hAnsi="Verdana"/>
          <w:sz w:val="24"/>
          <w:szCs w:val="24"/>
        </w:rPr>
        <w:t xml:space="preserve"> [2001] 2 AC 532 at 27 and especially the question:</w:t>
      </w:r>
    </w:p>
    <w:p w14:paraId="3FD640A9" w14:textId="77777777" w:rsidR="008C1176" w:rsidRPr="008C1176" w:rsidRDefault="008C1176" w:rsidP="008C1176">
      <w:pPr>
        <w:widowControl w:val="0"/>
        <w:tabs>
          <w:tab w:val="left" w:pos="0"/>
          <w:tab w:val="left" w:pos="1134"/>
          <w:tab w:val="left" w:pos="2268"/>
          <w:tab w:val="left" w:pos="4464"/>
        </w:tabs>
        <w:jc w:val="both"/>
        <w:rPr>
          <w:rFonts w:ascii="Verdana" w:hAnsi="Verdana"/>
          <w:sz w:val="24"/>
          <w:szCs w:val="24"/>
        </w:rPr>
      </w:pPr>
    </w:p>
    <w:p w14:paraId="197B77BA" w14:textId="77777777" w:rsidR="008C1176" w:rsidRPr="008C1176" w:rsidRDefault="008C1176" w:rsidP="008C1176">
      <w:pPr>
        <w:widowControl w:val="0"/>
        <w:tabs>
          <w:tab w:val="left" w:pos="0"/>
          <w:tab w:val="left" w:pos="1134"/>
          <w:tab w:val="left" w:pos="2268"/>
          <w:tab w:val="left" w:pos="4464"/>
        </w:tabs>
        <w:jc w:val="both"/>
        <w:rPr>
          <w:rFonts w:ascii="Verdana" w:hAnsi="Verdana"/>
          <w:sz w:val="24"/>
          <w:szCs w:val="24"/>
        </w:rPr>
      </w:pPr>
      <w:r w:rsidRPr="008C1176">
        <w:rPr>
          <w:rFonts w:ascii="Verdana" w:hAnsi="Verdana"/>
          <w:i/>
          <w:sz w:val="24"/>
          <w:szCs w:val="24"/>
        </w:rPr>
        <w:t xml:space="preserve">Is the proposed measure the least restrictive means (in terms of the degree to which it interferes with a protected fundamental right) of accomplishing the relevant legitimate aim? </w:t>
      </w:r>
    </w:p>
    <w:p w14:paraId="30ACD65D" w14:textId="77777777" w:rsidR="008C1176" w:rsidRPr="008C1176" w:rsidRDefault="008C1176" w:rsidP="008C1176">
      <w:pPr>
        <w:widowControl w:val="0"/>
        <w:tabs>
          <w:tab w:val="left" w:pos="0"/>
          <w:tab w:val="left" w:pos="1134"/>
          <w:tab w:val="left" w:pos="2268"/>
          <w:tab w:val="left" w:pos="4464"/>
        </w:tabs>
        <w:jc w:val="both"/>
        <w:rPr>
          <w:rFonts w:ascii="Verdana" w:hAnsi="Verdana"/>
          <w:sz w:val="24"/>
          <w:szCs w:val="24"/>
        </w:rPr>
      </w:pPr>
      <w:r w:rsidRPr="008C1176">
        <w:rPr>
          <w:rFonts w:ascii="Verdana" w:hAnsi="Verdana"/>
          <w:sz w:val="24"/>
          <w:szCs w:val="24"/>
        </w:rPr>
        <w:t xml:space="preserve">Clearly there are ways in which such an extreme measure as a PSPO could be avoided e.g. by using existing possible methods of possession action such as Civil Procedure Rules Part 55 or Criminal Justice and Public Order Act 1994 Section 77.    </w:t>
      </w:r>
    </w:p>
    <w:p w14:paraId="71A885AC" w14:textId="77777777" w:rsidR="008C1176" w:rsidRPr="008C1176" w:rsidRDefault="00BD1595" w:rsidP="008C1176">
      <w:pPr>
        <w:widowControl w:val="0"/>
        <w:tabs>
          <w:tab w:val="left" w:pos="0"/>
          <w:tab w:val="left" w:pos="1134"/>
          <w:tab w:val="left" w:pos="2268"/>
          <w:tab w:val="left" w:pos="4464"/>
        </w:tabs>
        <w:jc w:val="both"/>
        <w:rPr>
          <w:rFonts w:ascii="Verdana" w:hAnsi="Verdana"/>
          <w:sz w:val="24"/>
          <w:szCs w:val="24"/>
        </w:rPr>
      </w:pPr>
      <w:r>
        <w:rPr>
          <w:rFonts w:ascii="Verdana" w:hAnsi="Verdana"/>
          <w:sz w:val="24"/>
          <w:szCs w:val="24"/>
        </w:rPr>
        <w:t>Furthermore, has the Council had</w:t>
      </w:r>
      <w:r w:rsidR="008C1176" w:rsidRPr="008C1176">
        <w:rPr>
          <w:rFonts w:ascii="Verdana" w:hAnsi="Verdana"/>
          <w:sz w:val="24"/>
          <w:szCs w:val="24"/>
        </w:rPr>
        <w:t xml:space="preserve"> proper regard to its Public Sector Equality Duty unde</w:t>
      </w:r>
      <w:r>
        <w:rPr>
          <w:rFonts w:ascii="Verdana" w:hAnsi="Verdana"/>
          <w:sz w:val="24"/>
          <w:szCs w:val="24"/>
        </w:rPr>
        <w:t>r Equality Act 2010 Section 149?</w:t>
      </w:r>
      <w:r w:rsidR="008C1176" w:rsidRPr="008C1176">
        <w:rPr>
          <w:rFonts w:ascii="Verdana" w:hAnsi="Verdana"/>
          <w:sz w:val="24"/>
          <w:szCs w:val="24"/>
        </w:rPr>
        <w:t xml:space="preserve">  In the recent homelessness review case of </w:t>
      </w:r>
      <w:proofErr w:type="spellStart"/>
      <w:r w:rsidR="008C1176" w:rsidRPr="008C1176">
        <w:rPr>
          <w:rFonts w:ascii="Verdana" w:hAnsi="Verdana"/>
          <w:i/>
          <w:sz w:val="24"/>
          <w:szCs w:val="24"/>
        </w:rPr>
        <w:t>Hotak</w:t>
      </w:r>
      <w:proofErr w:type="spellEnd"/>
      <w:r w:rsidR="008C1176" w:rsidRPr="008C1176">
        <w:rPr>
          <w:rFonts w:ascii="Verdana" w:hAnsi="Verdana"/>
          <w:i/>
          <w:sz w:val="24"/>
          <w:szCs w:val="24"/>
        </w:rPr>
        <w:t xml:space="preserve"> and Others –v- Southwark LBC and Others</w:t>
      </w:r>
      <w:r w:rsidR="008C1176" w:rsidRPr="008C1176">
        <w:rPr>
          <w:rFonts w:ascii="Verdana" w:hAnsi="Verdana"/>
          <w:sz w:val="24"/>
          <w:szCs w:val="24"/>
        </w:rPr>
        <w:t xml:space="preserve"> [2015] UKSC 30, Lord Neuberger stated:</w:t>
      </w:r>
    </w:p>
    <w:p w14:paraId="691D1A28" w14:textId="77777777" w:rsidR="008C1176" w:rsidRPr="008C1176" w:rsidRDefault="008C1176" w:rsidP="008C1176">
      <w:pPr>
        <w:widowControl w:val="0"/>
        <w:tabs>
          <w:tab w:val="left" w:pos="0"/>
          <w:tab w:val="left" w:pos="1134"/>
          <w:tab w:val="left" w:pos="2268"/>
          <w:tab w:val="left" w:pos="4464"/>
        </w:tabs>
        <w:jc w:val="both"/>
        <w:rPr>
          <w:rFonts w:ascii="Verdana" w:hAnsi="Verdana"/>
          <w:sz w:val="24"/>
          <w:szCs w:val="24"/>
        </w:rPr>
      </w:pPr>
      <w:r w:rsidRPr="008C1176">
        <w:rPr>
          <w:rFonts w:ascii="Verdana" w:hAnsi="Verdana"/>
          <w:i/>
          <w:sz w:val="24"/>
          <w:szCs w:val="24"/>
        </w:rPr>
        <w:t>It is therefore appropriate to emphasise that the equality duty, in the context of an exercise such as a Section 202</w:t>
      </w:r>
      <w:r w:rsidRPr="008C1176">
        <w:rPr>
          <w:rFonts w:ascii="Verdana" w:hAnsi="Verdana"/>
          <w:sz w:val="24"/>
          <w:szCs w:val="24"/>
        </w:rPr>
        <w:t xml:space="preserve"> [Housing Act 1996] </w:t>
      </w:r>
      <w:r w:rsidRPr="008C1176">
        <w:rPr>
          <w:rFonts w:ascii="Verdana" w:hAnsi="Verdana"/>
          <w:i/>
          <w:sz w:val="24"/>
          <w:szCs w:val="24"/>
        </w:rPr>
        <w:t xml:space="preserve">review, does require the reviewing officer to focus very sharply on (i) whether the applicant is under a disability (or has another relevant protected characteristic), (ii) the extent of such disability, (iii) the likely effect of the disability, when taken together with any other features, on the applicant if and when homeless, and (iv) whether the applicant is as a result ‘vulnerable’. </w:t>
      </w:r>
    </w:p>
    <w:p w14:paraId="1C816858" w14:textId="77777777" w:rsidR="008C1176" w:rsidRDefault="008C1176" w:rsidP="008C1176">
      <w:pPr>
        <w:widowControl w:val="0"/>
        <w:tabs>
          <w:tab w:val="left" w:pos="0"/>
          <w:tab w:val="left" w:pos="1134"/>
          <w:tab w:val="left" w:pos="2268"/>
          <w:tab w:val="left" w:pos="4464"/>
        </w:tabs>
        <w:jc w:val="both"/>
        <w:rPr>
          <w:rFonts w:ascii="Verdana" w:hAnsi="Verdana"/>
          <w:sz w:val="24"/>
          <w:szCs w:val="24"/>
        </w:rPr>
      </w:pPr>
      <w:r w:rsidRPr="008C1176">
        <w:rPr>
          <w:rFonts w:ascii="Verdana" w:hAnsi="Verdana"/>
          <w:sz w:val="24"/>
          <w:szCs w:val="24"/>
        </w:rPr>
        <w:t>Obviously in the context of PSPOs and Gypsies and Travellers, the most relevant protected characteristic would be the rac</w:t>
      </w:r>
      <w:r>
        <w:rPr>
          <w:rFonts w:ascii="Verdana" w:hAnsi="Verdana"/>
          <w:sz w:val="24"/>
          <w:szCs w:val="24"/>
        </w:rPr>
        <w:t>e of those who are ethnic Romany</w:t>
      </w:r>
      <w:r w:rsidRPr="008C1176">
        <w:rPr>
          <w:rFonts w:ascii="Verdana" w:hAnsi="Verdana"/>
          <w:sz w:val="24"/>
          <w:szCs w:val="24"/>
        </w:rPr>
        <w:t xml:space="preserve"> Gypsies and Irish Travellers. </w:t>
      </w:r>
    </w:p>
    <w:p w14:paraId="2B8CBC74" w14:textId="77777777" w:rsidR="008C1176" w:rsidRPr="008C1176" w:rsidRDefault="008C1176" w:rsidP="008C1176">
      <w:pPr>
        <w:widowControl w:val="0"/>
        <w:tabs>
          <w:tab w:val="left" w:pos="0"/>
          <w:tab w:val="left" w:pos="1134"/>
          <w:tab w:val="left" w:pos="2268"/>
          <w:tab w:val="left" w:pos="4464"/>
        </w:tabs>
        <w:jc w:val="both"/>
        <w:rPr>
          <w:rFonts w:ascii="Verdana" w:hAnsi="Verdana"/>
          <w:sz w:val="24"/>
          <w:szCs w:val="24"/>
        </w:rPr>
      </w:pPr>
      <w:r w:rsidRPr="008C1176">
        <w:rPr>
          <w:rFonts w:ascii="Verdana" w:hAnsi="Verdana"/>
          <w:sz w:val="24"/>
          <w:szCs w:val="24"/>
        </w:rPr>
        <w:t xml:space="preserve">Further the activities must be “unreasonable” (ASBCPA 2014 Section 59(3)(b).  Once again it is certainly not clear that an unauthorised encampment in itself could be said to be “unreasonable”.  It is recognised by a wide variety of organisations and by central government that the problem of unauthorised encampments is caused not through the fault of the Gypsies or Travellers concerned but due to the lack of authorised permanent and transit pitches and emergency stopping places.  It is difficult to see how the phenomenon of unauthorised encampments in itself could, therefore, be described as being “unreasonable”.  </w:t>
      </w:r>
    </w:p>
    <w:p w14:paraId="512688BA" w14:textId="77777777" w:rsidR="008C1176" w:rsidRPr="008C1176" w:rsidRDefault="008C1176" w:rsidP="008C1176">
      <w:pPr>
        <w:widowControl w:val="0"/>
        <w:tabs>
          <w:tab w:val="left" w:pos="0"/>
          <w:tab w:val="left" w:pos="1134"/>
          <w:tab w:val="left" w:pos="2268"/>
          <w:tab w:val="left" w:pos="4464"/>
        </w:tabs>
        <w:jc w:val="both"/>
        <w:rPr>
          <w:rFonts w:ascii="Verdana" w:hAnsi="Verdana"/>
          <w:sz w:val="24"/>
          <w:szCs w:val="24"/>
        </w:rPr>
      </w:pPr>
      <w:r w:rsidRPr="008C1176">
        <w:rPr>
          <w:rFonts w:ascii="Verdana" w:hAnsi="Verdana"/>
          <w:sz w:val="24"/>
          <w:szCs w:val="24"/>
        </w:rPr>
        <w:t xml:space="preserve">The clear implications are that PSPOs are not appropriate or suitable to deal </w:t>
      </w:r>
      <w:r w:rsidRPr="008C1176">
        <w:rPr>
          <w:rFonts w:ascii="Verdana" w:hAnsi="Verdana"/>
          <w:sz w:val="24"/>
          <w:szCs w:val="24"/>
        </w:rPr>
        <w:lastRenderedPageBreak/>
        <w:t xml:space="preserve">with unauthorised encampments, are not meant to deal with unauthorised encampments and should not be used with regard to unauthorised encampments.  </w:t>
      </w:r>
    </w:p>
    <w:p w14:paraId="4E583890" w14:textId="77777777" w:rsidR="008C1176" w:rsidRPr="008C1176" w:rsidRDefault="008C1176" w:rsidP="008C1176">
      <w:pPr>
        <w:widowControl w:val="0"/>
        <w:tabs>
          <w:tab w:val="left" w:pos="0"/>
          <w:tab w:val="left" w:pos="1134"/>
          <w:tab w:val="left" w:pos="2268"/>
          <w:tab w:val="left" w:pos="4464"/>
        </w:tabs>
        <w:jc w:val="both"/>
        <w:rPr>
          <w:rFonts w:ascii="Verdana" w:hAnsi="Verdana"/>
          <w:sz w:val="24"/>
          <w:szCs w:val="24"/>
        </w:rPr>
      </w:pPr>
      <w:r>
        <w:rPr>
          <w:rFonts w:ascii="Verdana" w:hAnsi="Verdana"/>
          <w:sz w:val="24"/>
          <w:szCs w:val="24"/>
        </w:rPr>
        <w:t>In the light of this guidance we are theref</w:t>
      </w:r>
      <w:r w:rsidR="00BD1595">
        <w:rPr>
          <w:rFonts w:ascii="Verdana" w:hAnsi="Verdana"/>
          <w:sz w:val="24"/>
          <w:szCs w:val="24"/>
        </w:rPr>
        <w:t>ore writing to ask you to withdraw</w:t>
      </w:r>
      <w:r>
        <w:rPr>
          <w:rFonts w:ascii="Verdana" w:hAnsi="Verdana"/>
          <w:sz w:val="24"/>
          <w:szCs w:val="24"/>
        </w:rPr>
        <w:t xml:space="preserve"> the PSPOs on unauthorised encampments on the 12 locatio</w:t>
      </w:r>
      <w:r w:rsidR="00BD1595">
        <w:rPr>
          <w:rFonts w:ascii="Verdana" w:hAnsi="Verdana"/>
          <w:sz w:val="24"/>
          <w:szCs w:val="24"/>
        </w:rPr>
        <w:t>ns in Brighton, which are</w:t>
      </w:r>
      <w:r>
        <w:rPr>
          <w:rFonts w:ascii="Verdana" w:hAnsi="Verdana"/>
          <w:sz w:val="24"/>
          <w:szCs w:val="24"/>
        </w:rPr>
        <w:t xml:space="preserve"> in contravention to the new</w:t>
      </w:r>
      <w:r w:rsidR="00C620F7">
        <w:rPr>
          <w:rFonts w:ascii="Verdana" w:hAnsi="Verdana"/>
          <w:sz w:val="24"/>
          <w:szCs w:val="24"/>
        </w:rPr>
        <w:t xml:space="preserve"> updated</w:t>
      </w:r>
      <w:r w:rsidR="00BD1595">
        <w:rPr>
          <w:rFonts w:ascii="Verdana" w:hAnsi="Verdana"/>
          <w:sz w:val="24"/>
          <w:szCs w:val="24"/>
        </w:rPr>
        <w:t xml:space="preserve"> Guidance.</w:t>
      </w:r>
    </w:p>
    <w:p w14:paraId="297EC2DB" w14:textId="77777777" w:rsidR="00AE2F61" w:rsidRDefault="00AE2F61" w:rsidP="00CC326C">
      <w:pPr>
        <w:spacing w:after="0" w:line="240" w:lineRule="auto"/>
        <w:rPr>
          <w:rFonts w:ascii="Verdana" w:hAnsi="Verdana"/>
          <w:sz w:val="24"/>
          <w:szCs w:val="24"/>
        </w:rPr>
      </w:pPr>
    </w:p>
    <w:p w14:paraId="7F061D87" w14:textId="77777777" w:rsidR="0076282B" w:rsidRDefault="008C1176" w:rsidP="00CC326C">
      <w:pPr>
        <w:spacing w:after="0" w:line="240" w:lineRule="auto"/>
        <w:rPr>
          <w:rFonts w:ascii="Verdana" w:hAnsi="Verdana"/>
          <w:sz w:val="24"/>
          <w:szCs w:val="24"/>
        </w:rPr>
      </w:pPr>
      <w:r>
        <w:rPr>
          <w:rFonts w:ascii="Verdana" w:hAnsi="Verdana"/>
          <w:sz w:val="24"/>
          <w:szCs w:val="24"/>
        </w:rPr>
        <w:t>Yours sincerely</w:t>
      </w:r>
    </w:p>
    <w:p w14:paraId="28A7B94F" w14:textId="77777777" w:rsidR="0076282B" w:rsidRDefault="0076282B" w:rsidP="00CC326C">
      <w:pPr>
        <w:spacing w:after="0" w:line="240" w:lineRule="auto"/>
        <w:rPr>
          <w:rFonts w:ascii="Verdana" w:hAnsi="Verdana"/>
          <w:sz w:val="24"/>
          <w:szCs w:val="24"/>
        </w:rPr>
      </w:pPr>
    </w:p>
    <w:p w14:paraId="457CC984" w14:textId="77777777" w:rsidR="0076282B" w:rsidRDefault="0076282B" w:rsidP="00CC326C">
      <w:pPr>
        <w:spacing w:after="0" w:line="240" w:lineRule="auto"/>
        <w:rPr>
          <w:rFonts w:ascii="Verdana" w:hAnsi="Verdana"/>
          <w:sz w:val="24"/>
          <w:szCs w:val="24"/>
        </w:rPr>
      </w:pPr>
    </w:p>
    <w:p w14:paraId="5F4BA12C" w14:textId="77777777" w:rsidR="0076282B" w:rsidRDefault="0076282B" w:rsidP="00CC326C">
      <w:pPr>
        <w:spacing w:after="0" w:line="240" w:lineRule="auto"/>
        <w:rPr>
          <w:rFonts w:ascii="Verdana" w:hAnsi="Verdana"/>
          <w:sz w:val="24"/>
          <w:szCs w:val="24"/>
        </w:rPr>
      </w:pPr>
    </w:p>
    <w:p w14:paraId="7372F51D" w14:textId="77777777" w:rsidR="0076282B" w:rsidRDefault="0076282B" w:rsidP="00CC326C">
      <w:pPr>
        <w:spacing w:after="0" w:line="240" w:lineRule="auto"/>
        <w:rPr>
          <w:rFonts w:ascii="Verdana" w:hAnsi="Verdana"/>
          <w:sz w:val="24"/>
          <w:szCs w:val="24"/>
        </w:rPr>
      </w:pPr>
      <w:r>
        <w:rPr>
          <w:rFonts w:ascii="Verdana" w:hAnsi="Verdana"/>
          <w:sz w:val="24"/>
          <w:szCs w:val="24"/>
        </w:rPr>
        <w:t>Emma Nuttall</w:t>
      </w:r>
    </w:p>
    <w:p w14:paraId="1C325B77" w14:textId="77777777" w:rsidR="0076282B" w:rsidRDefault="0076282B" w:rsidP="00CC326C">
      <w:pPr>
        <w:spacing w:after="0" w:line="240" w:lineRule="auto"/>
        <w:rPr>
          <w:rFonts w:ascii="Verdana" w:hAnsi="Verdana"/>
          <w:sz w:val="24"/>
          <w:szCs w:val="24"/>
        </w:rPr>
      </w:pPr>
      <w:r>
        <w:rPr>
          <w:rFonts w:ascii="Verdana" w:hAnsi="Verdana"/>
          <w:sz w:val="24"/>
          <w:szCs w:val="24"/>
        </w:rPr>
        <w:t>Advice and Policy Manager</w:t>
      </w:r>
    </w:p>
    <w:p w14:paraId="52EB9682" w14:textId="77777777" w:rsidR="008C1176" w:rsidRDefault="008C1176" w:rsidP="00CC326C">
      <w:pPr>
        <w:spacing w:after="0" w:line="240" w:lineRule="auto"/>
        <w:rPr>
          <w:rFonts w:ascii="Verdana" w:hAnsi="Verdana"/>
          <w:sz w:val="24"/>
          <w:szCs w:val="24"/>
        </w:rPr>
      </w:pPr>
    </w:p>
    <w:p w14:paraId="32F9CE7F" w14:textId="77777777" w:rsidR="008C1176" w:rsidRPr="0076282B" w:rsidRDefault="008C1176" w:rsidP="00CC326C">
      <w:pPr>
        <w:spacing w:after="0" w:line="240" w:lineRule="auto"/>
        <w:rPr>
          <w:rFonts w:ascii="Verdana" w:hAnsi="Verdana"/>
          <w:sz w:val="24"/>
          <w:szCs w:val="24"/>
        </w:rPr>
      </w:pPr>
      <w:r w:rsidRPr="00F14012">
        <w:rPr>
          <w:rFonts w:ascii="Verdana" w:hAnsi="Verdana"/>
          <w:i/>
          <w:sz w:val="24"/>
          <w:szCs w:val="24"/>
        </w:rPr>
        <w:t xml:space="preserve">Cc Peter Castleton, </w:t>
      </w:r>
      <w:r w:rsidR="004E746B" w:rsidRPr="00F14012">
        <w:rPr>
          <w:rFonts w:ascii="Verdana" w:hAnsi="Verdana"/>
          <w:i/>
          <w:sz w:val="24"/>
          <w:szCs w:val="24"/>
        </w:rPr>
        <w:t xml:space="preserve">Head of Community Safety, </w:t>
      </w:r>
      <w:r w:rsidRPr="00F14012">
        <w:rPr>
          <w:rFonts w:ascii="Verdana" w:hAnsi="Verdana"/>
          <w:i/>
          <w:sz w:val="24"/>
          <w:szCs w:val="24"/>
        </w:rPr>
        <w:t xml:space="preserve">Brighton and Hove City Council, </w:t>
      </w:r>
      <w:r w:rsidR="004E746B" w:rsidRPr="00F14012">
        <w:rPr>
          <w:rFonts w:ascii="Verdana" w:hAnsi="Verdana"/>
          <w:i/>
          <w:sz w:val="24"/>
          <w:szCs w:val="24"/>
        </w:rPr>
        <w:t xml:space="preserve">Chief Inspector </w:t>
      </w:r>
      <w:r w:rsidRPr="00F14012">
        <w:rPr>
          <w:rFonts w:ascii="Verdana" w:hAnsi="Verdana"/>
          <w:i/>
          <w:sz w:val="24"/>
          <w:szCs w:val="24"/>
        </w:rPr>
        <w:t xml:space="preserve">Howard Hodges, Sussex Police, Rosemary Lloyd, </w:t>
      </w:r>
      <w:r w:rsidR="00F14012" w:rsidRPr="00F14012">
        <w:rPr>
          <w:rFonts w:ascii="Verdana" w:hAnsi="Verdana"/>
          <w:i/>
          <w:sz w:val="24"/>
          <w:szCs w:val="24"/>
        </w:rPr>
        <w:t xml:space="preserve">Senior Solicitor, </w:t>
      </w:r>
      <w:r w:rsidRPr="00F14012">
        <w:rPr>
          <w:rFonts w:ascii="Verdana" w:hAnsi="Verdana"/>
          <w:i/>
          <w:sz w:val="24"/>
          <w:szCs w:val="24"/>
        </w:rPr>
        <w:t>Equalitie</w:t>
      </w:r>
      <w:r w:rsidR="004E746B" w:rsidRPr="00F14012">
        <w:rPr>
          <w:rFonts w:ascii="Verdana" w:hAnsi="Verdana"/>
          <w:i/>
          <w:sz w:val="24"/>
          <w:szCs w:val="24"/>
        </w:rPr>
        <w:t>s and Human Rights Commission, Rosie Brighouse, Legal Officer,</w:t>
      </w:r>
      <w:r w:rsidRPr="00F14012">
        <w:rPr>
          <w:rFonts w:ascii="Verdana" w:hAnsi="Verdana"/>
          <w:i/>
          <w:sz w:val="24"/>
          <w:szCs w:val="24"/>
        </w:rPr>
        <w:t xml:space="preserve"> Liberty</w:t>
      </w:r>
      <w:r>
        <w:rPr>
          <w:rFonts w:ascii="Verdana" w:hAnsi="Verdana"/>
          <w:sz w:val="24"/>
          <w:szCs w:val="24"/>
        </w:rPr>
        <w:t>.</w:t>
      </w:r>
    </w:p>
    <w:p w14:paraId="3473ACBD" w14:textId="77777777" w:rsidR="00801DA7" w:rsidRPr="0034561F" w:rsidRDefault="00801DA7" w:rsidP="00CC326C">
      <w:pPr>
        <w:spacing w:after="0" w:line="240" w:lineRule="auto"/>
        <w:rPr>
          <w:sz w:val="24"/>
          <w:szCs w:val="24"/>
        </w:rPr>
      </w:pPr>
    </w:p>
    <w:p w14:paraId="54B696E4" w14:textId="77777777" w:rsidR="00200D1B" w:rsidRPr="0034561F" w:rsidRDefault="00200D1B" w:rsidP="00CC326C">
      <w:pPr>
        <w:spacing w:after="0" w:line="240" w:lineRule="auto"/>
        <w:rPr>
          <w:sz w:val="24"/>
          <w:szCs w:val="24"/>
        </w:rPr>
      </w:pPr>
    </w:p>
    <w:p w14:paraId="7BC7868F" w14:textId="77777777" w:rsidR="00383516" w:rsidRPr="0034561F" w:rsidRDefault="00383516" w:rsidP="00CC326C">
      <w:pPr>
        <w:spacing w:after="0" w:line="240" w:lineRule="auto"/>
        <w:rPr>
          <w:sz w:val="24"/>
          <w:szCs w:val="24"/>
        </w:rPr>
      </w:pPr>
    </w:p>
    <w:p w14:paraId="30822512" w14:textId="77777777" w:rsidR="00383516" w:rsidRPr="0034561F" w:rsidRDefault="00383516" w:rsidP="00CC326C">
      <w:pPr>
        <w:spacing w:after="0" w:line="240" w:lineRule="auto"/>
        <w:rPr>
          <w:sz w:val="24"/>
          <w:szCs w:val="24"/>
        </w:rPr>
      </w:pPr>
    </w:p>
    <w:p w14:paraId="0BD4E69A" w14:textId="77777777" w:rsidR="00200D1B" w:rsidRPr="0034561F" w:rsidRDefault="00200D1B" w:rsidP="00CC326C">
      <w:pPr>
        <w:spacing w:after="0" w:line="240" w:lineRule="auto"/>
        <w:rPr>
          <w:sz w:val="24"/>
          <w:szCs w:val="24"/>
        </w:rPr>
      </w:pPr>
    </w:p>
    <w:p w14:paraId="019F6B3B" w14:textId="77777777" w:rsidR="00200D1B" w:rsidRPr="0034561F" w:rsidRDefault="00200D1B" w:rsidP="00CC326C">
      <w:pPr>
        <w:spacing w:after="0" w:line="240" w:lineRule="auto"/>
        <w:rPr>
          <w:sz w:val="24"/>
          <w:szCs w:val="24"/>
        </w:rPr>
      </w:pPr>
    </w:p>
    <w:p w14:paraId="5BE15C45" w14:textId="77777777" w:rsidR="00200D1B" w:rsidRPr="0034561F" w:rsidRDefault="00200D1B" w:rsidP="00CC326C">
      <w:pPr>
        <w:spacing w:after="0" w:line="240" w:lineRule="auto"/>
        <w:rPr>
          <w:sz w:val="24"/>
          <w:szCs w:val="24"/>
        </w:rPr>
      </w:pPr>
    </w:p>
    <w:p w14:paraId="6F9DB8DA" w14:textId="77777777" w:rsidR="00200D1B" w:rsidRPr="0034561F" w:rsidRDefault="00200D1B" w:rsidP="00CC326C">
      <w:pPr>
        <w:spacing w:after="0" w:line="240" w:lineRule="auto"/>
        <w:rPr>
          <w:sz w:val="24"/>
          <w:szCs w:val="24"/>
        </w:rPr>
      </w:pPr>
    </w:p>
    <w:p w14:paraId="10C97D2F" w14:textId="77777777" w:rsidR="00200D1B" w:rsidRPr="0034561F" w:rsidRDefault="00200D1B" w:rsidP="00CC326C">
      <w:pPr>
        <w:spacing w:after="0" w:line="240" w:lineRule="auto"/>
        <w:rPr>
          <w:sz w:val="24"/>
          <w:szCs w:val="24"/>
        </w:rPr>
      </w:pPr>
    </w:p>
    <w:p w14:paraId="1CD41C77" w14:textId="77777777" w:rsidR="0068580C" w:rsidRPr="0034561F" w:rsidRDefault="0068580C" w:rsidP="00CC326C">
      <w:pPr>
        <w:spacing w:after="0" w:line="240" w:lineRule="auto"/>
        <w:rPr>
          <w:sz w:val="24"/>
          <w:szCs w:val="24"/>
        </w:rPr>
      </w:pPr>
    </w:p>
    <w:p w14:paraId="1054B10A" w14:textId="77777777" w:rsidR="0068580C" w:rsidRPr="0034561F" w:rsidRDefault="0068580C" w:rsidP="00CC326C">
      <w:pPr>
        <w:spacing w:after="0" w:line="240" w:lineRule="auto"/>
        <w:rPr>
          <w:sz w:val="24"/>
          <w:szCs w:val="24"/>
        </w:rPr>
      </w:pPr>
    </w:p>
    <w:sectPr w:rsidR="0068580C" w:rsidRPr="0034561F" w:rsidSect="00383516">
      <w:footerReference w:type="default" r:id="rId10"/>
      <w:pgSz w:w="12240" w:h="15840" w:code="1"/>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33164" w14:textId="77777777" w:rsidR="0087022F" w:rsidRDefault="0087022F" w:rsidP="001F404F">
      <w:pPr>
        <w:spacing w:after="0" w:line="240" w:lineRule="auto"/>
      </w:pPr>
      <w:r>
        <w:separator/>
      </w:r>
    </w:p>
  </w:endnote>
  <w:endnote w:type="continuationSeparator" w:id="0">
    <w:p w14:paraId="1FCA8292" w14:textId="77777777" w:rsidR="0087022F" w:rsidRDefault="0087022F" w:rsidP="001F4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1EEEE" w14:textId="77777777" w:rsidR="001F404F" w:rsidRPr="001F404F" w:rsidRDefault="0076282B" w:rsidP="001F404F">
    <w:pPr>
      <w:pStyle w:val="Footer"/>
    </w:pPr>
    <w:r>
      <w:rPr>
        <w:b/>
        <w:noProof/>
        <w:color w:val="3C5C33"/>
        <w:sz w:val="24"/>
        <w:lang w:eastAsia="en-GB"/>
      </w:rPr>
      <w:drawing>
        <wp:inline distT="0" distB="0" distL="0" distR="0" wp14:anchorId="1BFF3C6A" wp14:editId="29BD5ED7">
          <wp:extent cx="5943600" cy="857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5725"/>
                  </a:xfrm>
                  <a:prstGeom prst="rect">
                    <a:avLst/>
                  </a:prstGeom>
                  <a:noFill/>
                  <a:ln>
                    <a:noFill/>
                  </a:ln>
                </pic:spPr>
              </pic:pic>
            </a:graphicData>
          </a:graphic>
        </wp:inline>
      </w:drawing>
    </w:r>
    <w:r w:rsidR="001F404F" w:rsidRPr="001F4217">
      <w:rPr>
        <w:b/>
        <w:color w:val="3C5C33"/>
        <w:sz w:val="24"/>
      </w:rPr>
      <w:t>Friends Families &amp; Travellers</w:t>
    </w:r>
    <w:r w:rsidR="001F404F" w:rsidRPr="001F4217">
      <w:rPr>
        <w:color w:val="3C5C33"/>
      </w:rPr>
      <w:tab/>
    </w:r>
    <w:r w:rsidR="001F404F" w:rsidRPr="001F404F">
      <w:tab/>
    </w:r>
    <w:r w:rsidR="001F404F" w:rsidRPr="001F4217">
      <w:rPr>
        <w:b/>
        <w:i/>
        <w:color w:val="3C5C33"/>
      </w:rPr>
      <w:t>T:</w:t>
    </w:r>
    <w:r w:rsidR="001F404F" w:rsidRPr="001F404F">
      <w:t xml:space="preserve"> 01273 234 777</w:t>
    </w:r>
    <w:r w:rsidR="001F404F" w:rsidRPr="001F404F">
      <w:tab/>
    </w:r>
    <w:r w:rsidR="001F404F" w:rsidRPr="001F404F">
      <w:tab/>
    </w:r>
  </w:p>
  <w:p w14:paraId="2257ECF7" w14:textId="77777777" w:rsidR="001F404F" w:rsidRPr="001F404F" w:rsidRDefault="001F404F" w:rsidP="001F404F">
    <w:pPr>
      <w:pStyle w:val="Footer"/>
    </w:pPr>
    <w:r w:rsidRPr="001F404F">
      <w:t xml:space="preserve">Community Base, </w:t>
    </w:r>
    <w:smartTag w:uri="urn:schemas-microsoft-com:office:smarttags" w:element="address">
      <w:smartTag w:uri="urn:schemas-microsoft-com:office:smarttags" w:element="Street">
        <w:r w:rsidRPr="001F404F">
          <w:t>113 Queens Road</w:t>
        </w:r>
      </w:smartTag>
      <w:r w:rsidRPr="001F404F">
        <w:t xml:space="preserve">, </w:t>
      </w:r>
      <w:smartTag w:uri="urn:schemas-microsoft-com:office:smarttags" w:element="City">
        <w:r w:rsidRPr="001F404F">
          <w:t>Brighton</w:t>
        </w:r>
      </w:smartTag>
      <w:r w:rsidRPr="001F404F">
        <w:t xml:space="preserve">, </w:t>
      </w:r>
      <w:smartTag w:uri="urn:schemas-microsoft-com:office:smarttags" w:element="PostalCode">
        <w:r w:rsidRPr="001F404F">
          <w:t>BN1 3XG</w:t>
        </w:r>
      </w:smartTag>
    </w:smartTag>
    <w:r w:rsidRPr="001F404F">
      <w:tab/>
    </w:r>
    <w:r w:rsidRPr="001F4217">
      <w:rPr>
        <w:b/>
        <w:i/>
        <w:color w:val="3C5C33"/>
      </w:rPr>
      <w:t>F:</w:t>
    </w:r>
    <w:r w:rsidRPr="001F404F">
      <w:t xml:space="preserve"> 01273 234 778</w:t>
    </w:r>
  </w:p>
  <w:p w14:paraId="222A84AB" w14:textId="77777777" w:rsidR="001F404F" w:rsidRPr="001F404F" w:rsidRDefault="001F404F" w:rsidP="001F404F">
    <w:pPr>
      <w:pStyle w:val="Footer"/>
    </w:pPr>
  </w:p>
  <w:p w14:paraId="54304BCB" w14:textId="77777777" w:rsidR="001F4217" w:rsidRDefault="001F404F" w:rsidP="001F404F">
    <w:pPr>
      <w:pStyle w:val="Footer"/>
      <w:rPr>
        <w:b/>
        <w:color w:val="3C5C33"/>
      </w:rPr>
    </w:pPr>
    <w:r w:rsidRPr="001F4217">
      <w:rPr>
        <w:b/>
        <w:color w:val="3C5C33"/>
      </w:rPr>
      <w:t>www.gypsy-traveller.org</w:t>
    </w:r>
    <w:r w:rsidRPr="001F4217">
      <w:rPr>
        <w:b/>
        <w:color w:val="3C5C33"/>
      </w:rPr>
      <w:tab/>
    </w:r>
    <w:r w:rsidRPr="001F4217">
      <w:rPr>
        <w:b/>
        <w:color w:val="3C5C33"/>
      </w:rPr>
      <w:tab/>
    </w:r>
    <w:r w:rsidR="001F4217" w:rsidRPr="001F4217">
      <w:rPr>
        <w:b/>
        <w:color w:val="3C5C33"/>
      </w:rPr>
      <w:t>fft@gypsy-traveller.org</w:t>
    </w:r>
  </w:p>
  <w:p w14:paraId="5BD88303" w14:textId="77777777" w:rsidR="001F4217" w:rsidRDefault="001F4217" w:rsidP="001F404F">
    <w:pPr>
      <w:pStyle w:val="Footer"/>
      <w:rPr>
        <w:b/>
        <w:color w:val="3C5C33"/>
      </w:rPr>
    </w:pPr>
  </w:p>
  <w:p w14:paraId="1C26E2E2" w14:textId="77777777" w:rsidR="001F404F" w:rsidRPr="001F4217" w:rsidRDefault="001F404F" w:rsidP="001F4217">
    <w:pPr>
      <w:widowControl w:val="0"/>
      <w:tabs>
        <w:tab w:val="center" w:pos="4680"/>
        <w:tab w:val="right" w:pos="9360"/>
      </w:tabs>
      <w:ind w:left="-1800"/>
      <w:jc w:val="center"/>
      <w:rPr>
        <w:snapToGrid w:val="0"/>
        <w:sz w:val="16"/>
        <w:szCs w:val="16"/>
      </w:rPr>
    </w:pPr>
    <w:r w:rsidRPr="001F404F">
      <w:tab/>
    </w:r>
    <w:r w:rsidR="001F4217" w:rsidRPr="00957985">
      <w:rPr>
        <w:snapToGrid w:val="0"/>
        <w:sz w:val="16"/>
        <w:szCs w:val="16"/>
      </w:rPr>
      <w:t xml:space="preserve">Registered charity no: </w:t>
    </w:r>
    <w:proofErr w:type="gramStart"/>
    <w:r w:rsidR="001F4217" w:rsidRPr="00957985">
      <w:rPr>
        <w:snapToGrid w:val="0"/>
        <w:sz w:val="16"/>
        <w:szCs w:val="16"/>
      </w:rPr>
      <w:t>1112326</w:t>
    </w:r>
    <w:r w:rsidR="001F4217">
      <w:rPr>
        <w:snapToGrid w:val="0"/>
        <w:sz w:val="16"/>
        <w:szCs w:val="16"/>
      </w:rPr>
      <w:t xml:space="preserve">  </w:t>
    </w:r>
    <w:r w:rsidR="001F4217" w:rsidRPr="00957985">
      <w:rPr>
        <w:snapToGrid w:val="0"/>
        <w:sz w:val="16"/>
        <w:szCs w:val="16"/>
      </w:rPr>
      <w:t>Company</w:t>
    </w:r>
    <w:proofErr w:type="gramEnd"/>
    <w:r w:rsidR="001F4217" w:rsidRPr="00957985">
      <w:rPr>
        <w:snapToGrid w:val="0"/>
        <w:sz w:val="16"/>
        <w:szCs w:val="16"/>
      </w:rPr>
      <w:t xml:space="preserve"> (non-profit voluntary organization) lim</w:t>
    </w:r>
    <w:r w:rsidR="001F4217">
      <w:rPr>
        <w:snapToGrid w:val="0"/>
        <w:sz w:val="16"/>
        <w:szCs w:val="16"/>
      </w:rPr>
      <w:t>ited by guarantee – No. 3597515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7BEFA" w14:textId="77777777" w:rsidR="0087022F" w:rsidRDefault="0087022F" w:rsidP="001F404F">
      <w:pPr>
        <w:spacing w:after="0" w:line="240" w:lineRule="auto"/>
      </w:pPr>
      <w:r>
        <w:separator/>
      </w:r>
    </w:p>
  </w:footnote>
  <w:footnote w:type="continuationSeparator" w:id="0">
    <w:p w14:paraId="0460BB6C" w14:textId="77777777" w:rsidR="0087022F" w:rsidRDefault="0087022F" w:rsidP="001F40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2ECF5C"/>
    <w:lvl w:ilvl="0">
      <w:start w:val="1"/>
      <w:numFmt w:val="decimal"/>
      <w:lvlText w:val="%1."/>
      <w:lvlJc w:val="left"/>
      <w:pPr>
        <w:tabs>
          <w:tab w:val="num" w:pos="1492"/>
        </w:tabs>
        <w:ind w:left="1492" w:hanging="360"/>
      </w:pPr>
    </w:lvl>
  </w:abstractNum>
  <w:abstractNum w:abstractNumId="1">
    <w:nsid w:val="FFFFFF7D"/>
    <w:multiLevelType w:val="singleLevel"/>
    <w:tmpl w:val="C884E73C"/>
    <w:lvl w:ilvl="0">
      <w:start w:val="1"/>
      <w:numFmt w:val="decimal"/>
      <w:lvlText w:val="%1."/>
      <w:lvlJc w:val="left"/>
      <w:pPr>
        <w:tabs>
          <w:tab w:val="num" w:pos="1209"/>
        </w:tabs>
        <w:ind w:left="1209" w:hanging="360"/>
      </w:pPr>
    </w:lvl>
  </w:abstractNum>
  <w:abstractNum w:abstractNumId="2">
    <w:nsid w:val="FFFFFF7E"/>
    <w:multiLevelType w:val="singleLevel"/>
    <w:tmpl w:val="65E2EAF8"/>
    <w:lvl w:ilvl="0">
      <w:start w:val="1"/>
      <w:numFmt w:val="decimal"/>
      <w:lvlText w:val="%1."/>
      <w:lvlJc w:val="left"/>
      <w:pPr>
        <w:tabs>
          <w:tab w:val="num" w:pos="926"/>
        </w:tabs>
        <w:ind w:left="926" w:hanging="360"/>
      </w:pPr>
    </w:lvl>
  </w:abstractNum>
  <w:abstractNum w:abstractNumId="3">
    <w:nsid w:val="FFFFFF7F"/>
    <w:multiLevelType w:val="singleLevel"/>
    <w:tmpl w:val="6310F068"/>
    <w:lvl w:ilvl="0">
      <w:start w:val="1"/>
      <w:numFmt w:val="decimal"/>
      <w:lvlText w:val="%1."/>
      <w:lvlJc w:val="left"/>
      <w:pPr>
        <w:tabs>
          <w:tab w:val="num" w:pos="643"/>
        </w:tabs>
        <w:ind w:left="643" w:hanging="360"/>
      </w:pPr>
    </w:lvl>
  </w:abstractNum>
  <w:abstractNum w:abstractNumId="4">
    <w:nsid w:val="FFFFFF80"/>
    <w:multiLevelType w:val="singleLevel"/>
    <w:tmpl w:val="FEFCD4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B006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046D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CAE2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BEA624"/>
    <w:lvl w:ilvl="0">
      <w:start w:val="1"/>
      <w:numFmt w:val="decimal"/>
      <w:lvlText w:val="%1."/>
      <w:lvlJc w:val="left"/>
      <w:pPr>
        <w:tabs>
          <w:tab w:val="num" w:pos="360"/>
        </w:tabs>
        <w:ind w:left="360" w:hanging="360"/>
      </w:pPr>
    </w:lvl>
  </w:abstractNum>
  <w:abstractNum w:abstractNumId="9">
    <w:nsid w:val="FFFFFF89"/>
    <w:multiLevelType w:val="singleLevel"/>
    <w:tmpl w:val="B9E892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82B"/>
    <w:rsid w:val="00054B98"/>
    <w:rsid w:val="00055AB3"/>
    <w:rsid w:val="00074466"/>
    <w:rsid w:val="00084516"/>
    <w:rsid w:val="0009345A"/>
    <w:rsid w:val="000B18D3"/>
    <w:rsid w:val="000D351C"/>
    <w:rsid w:val="000D4592"/>
    <w:rsid w:val="00123A16"/>
    <w:rsid w:val="00163B1E"/>
    <w:rsid w:val="00187E50"/>
    <w:rsid w:val="001D1953"/>
    <w:rsid w:val="001F404F"/>
    <w:rsid w:val="001F4217"/>
    <w:rsid w:val="00200D1B"/>
    <w:rsid w:val="00212D87"/>
    <w:rsid w:val="00272978"/>
    <w:rsid w:val="002F43D2"/>
    <w:rsid w:val="00301678"/>
    <w:rsid w:val="00321DCC"/>
    <w:rsid w:val="0034561F"/>
    <w:rsid w:val="003549EA"/>
    <w:rsid w:val="0038026E"/>
    <w:rsid w:val="00383516"/>
    <w:rsid w:val="003C15FF"/>
    <w:rsid w:val="003D0941"/>
    <w:rsid w:val="00466DA0"/>
    <w:rsid w:val="004C4F1C"/>
    <w:rsid w:val="004E746B"/>
    <w:rsid w:val="004F10BA"/>
    <w:rsid w:val="004F3313"/>
    <w:rsid w:val="00527FAB"/>
    <w:rsid w:val="00533870"/>
    <w:rsid w:val="0054056B"/>
    <w:rsid w:val="00573558"/>
    <w:rsid w:val="00594683"/>
    <w:rsid w:val="005E0225"/>
    <w:rsid w:val="00631328"/>
    <w:rsid w:val="0063139B"/>
    <w:rsid w:val="00634B05"/>
    <w:rsid w:val="00634DB6"/>
    <w:rsid w:val="00676396"/>
    <w:rsid w:val="0068580C"/>
    <w:rsid w:val="006B721C"/>
    <w:rsid w:val="006E5046"/>
    <w:rsid w:val="006F1CD4"/>
    <w:rsid w:val="00715F08"/>
    <w:rsid w:val="00720598"/>
    <w:rsid w:val="00734594"/>
    <w:rsid w:val="0076282B"/>
    <w:rsid w:val="00785ED4"/>
    <w:rsid w:val="007A3306"/>
    <w:rsid w:val="00801DA7"/>
    <w:rsid w:val="008022AF"/>
    <w:rsid w:val="00830236"/>
    <w:rsid w:val="0087022F"/>
    <w:rsid w:val="00896E99"/>
    <w:rsid w:val="008C072C"/>
    <w:rsid w:val="008C1176"/>
    <w:rsid w:val="00922FF9"/>
    <w:rsid w:val="0097745F"/>
    <w:rsid w:val="00986C2D"/>
    <w:rsid w:val="009960E2"/>
    <w:rsid w:val="00AA2160"/>
    <w:rsid w:val="00AE2F61"/>
    <w:rsid w:val="00AF2FFE"/>
    <w:rsid w:val="00B10DF1"/>
    <w:rsid w:val="00B3557D"/>
    <w:rsid w:val="00B906AA"/>
    <w:rsid w:val="00BB530B"/>
    <w:rsid w:val="00BC4236"/>
    <w:rsid w:val="00BD1595"/>
    <w:rsid w:val="00BD20C2"/>
    <w:rsid w:val="00BE3580"/>
    <w:rsid w:val="00C067FA"/>
    <w:rsid w:val="00C363FA"/>
    <w:rsid w:val="00C620F7"/>
    <w:rsid w:val="00CB064F"/>
    <w:rsid w:val="00CC12D8"/>
    <w:rsid w:val="00CC326C"/>
    <w:rsid w:val="00CD28B4"/>
    <w:rsid w:val="00D214AF"/>
    <w:rsid w:val="00D85969"/>
    <w:rsid w:val="00DA0698"/>
    <w:rsid w:val="00DA2AB1"/>
    <w:rsid w:val="00DE7AC4"/>
    <w:rsid w:val="00DF2C59"/>
    <w:rsid w:val="00E4050C"/>
    <w:rsid w:val="00EC7AAD"/>
    <w:rsid w:val="00F14012"/>
    <w:rsid w:val="00F249CB"/>
    <w:rsid w:val="00FD5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2572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5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3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1328"/>
    <w:rPr>
      <w:rFonts w:ascii="Tahoma" w:hAnsi="Tahoma" w:cs="Tahoma"/>
      <w:sz w:val="16"/>
      <w:szCs w:val="16"/>
    </w:rPr>
  </w:style>
  <w:style w:type="paragraph" w:styleId="Header">
    <w:name w:val="header"/>
    <w:basedOn w:val="Normal"/>
    <w:link w:val="HeaderChar"/>
    <w:uiPriority w:val="99"/>
    <w:semiHidden/>
    <w:unhideWhenUsed/>
    <w:rsid w:val="001F40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404F"/>
  </w:style>
  <w:style w:type="paragraph" w:styleId="Footer">
    <w:name w:val="footer"/>
    <w:basedOn w:val="Normal"/>
    <w:link w:val="FooterChar"/>
    <w:uiPriority w:val="99"/>
    <w:unhideWhenUsed/>
    <w:rsid w:val="001F4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04F"/>
  </w:style>
  <w:style w:type="character" w:styleId="Hyperlink">
    <w:name w:val="Hyperlink"/>
    <w:uiPriority w:val="99"/>
    <w:unhideWhenUsed/>
    <w:rsid w:val="001F404F"/>
    <w:rPr>
      <w:color w:val="0000FF"/>
      <w:u w:val="single"/>
    </w:rPr>
  </w:style>
  <w:style w:type="paragraph" w:customStyle="1" w:styleId="Default">
    <w:name w:val="Default"/>
    <w:rsid w:val="005E022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5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3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1328"/>
    <w:rPr>
      <w:rFonts w:ascii="Tahoma" w:hAnsi="Tahoma" w:cs="Tahoma"/>
      <w:sz w:val="16"/>
      <w:szCs w:val="16"/>
    </w:rPr>
  </w:style>
  <w:style w:type="paragraph" w:styleId="Header">
    <w:name w:val="header"/>
    <w:basedOn w:val="Normal"/>
    <w:link w:val="HeaderChar"/>
    <w:uiPriority w:val="99"/>
    <w:semiHidden/>
    <w:unhideWhenUsed/>
    <w:rsid w:val="001F40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404F"/>
  </w:style>
  <w:style w:type="paragraph" w:styleId="Footer">
    <w:name w:val="footer"/>
    <w:basedOn w:val="Normal"/>
    <w:link w:val="FooterChar"/>
    <w:uiPriority w:val="99"/>
    <w:unhideWhenUsed/>
    <w:rsid w:val="001F4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04F"/>
  </w:style>
  <w:style w:type="character" w:styleId="Hyperlink">
    <w:name w:val="Hyperlink"/>
    <w:uiPriority w:val="99"/>
    <w:unhideWhenUsed/>
    <w:rsid w:val="001F404F"/>
    <w:rPr>
      <w:color w:val="0000FF"/>
      <w:u w:val="single"/>
    </w:rPr>
  </w:style>
  <w:style w:type="paragraph" w:customStyle="1" w:styleId="Default">
    <w:name w:val="Default"/>
    <w:rsid w:val="005E022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9495">
      <w:bodyDiv w:val="1"/>
      <w:marLeft w:val="0"/>
      <w:marRight w:val="0"/>
      <w:marTop w:val="0"/>
      <w:marBottom w:val="0"/>
      <w:divBdr>
        <w:top w:val="none" w:sz="0" w:space="0" w:color="auto"/>
        <w:left w:val="none" w:sz="0" w:space="0" w:color="auto"/>
        <w:bottom w:val="none" w:sz="0" w:space="0" w:color="auto"/>
        <w:right w:val="none" w:sz="0" w:space="0" w:color="auto"/>
      </w:divBdr>
    </w:div>
    <w:div w:id="151483195">
      <w:bodyDiv w:val="1"/>
      <w:marLeft w:val="0"/>
      <w:marRight w:val="0"/>
      <w:marTop w:val="0"/>
      <w:marBottom w:val="0"/>
      <w:divBdr>
        <w:top w:val="none" w:sz="0" w:space="0" w:color="auto"/>
        <w:left w:val="none" w:sz="0" w:space="0" w:color="auto"/>
        <w:bottom w:val="none" w:sz="0" w:space="0" w:color="auto"/>
        <w:right w:val="none" w:sz="0" w:space="0" w:color="auto"/>
      </w:divBdr>
    </w:div>
    <w:div w:id="235820920">
      <w:bodyDiv w:val="1"/>
      <w:marLeft w:val="0"/>
      <w:marRight w:val="0"/>
      <w:marTop w:val="0"/>
      <w:marBottom w:val="0"/>
      <w:divBdr>
        <w:top w:val="none" w:sz="0" w:space="0" w:color="auto"/>
        <w:left w:val="none" w:sz="0" w:space="0" w:color="auto"/>
        <w:bottom w:val="none" w:sz="0" w:space="0" w:color="auto"/>
        <w:right w:val="none" w:sz="0" w:space="0" w:color="auto"/>
      </w:divBdr>
    </w:div>
    <w:div w:id="303513884">
      <w:bodyDiv w:val="1"/>
      <w:marLeft w:val="0"/>
      <w:marRight w:val="0"/>
      <w:marTop w:val="0"/>
      <w:marBottom w:val="0"/>
      <w:divBdr>
        <w:top w:val="none" w:sz="0" w:space="0" w:color="auto"/>
        <w:left w:val="none" w:sz="0" w:space="0" w:color="auto"/>
        <w:bottom w:val="none" w:sz="0" w:space="0" w:color="auto"/>
        <w:right w:val="none" w:sz="0" w:space="0" w:color="auto"/>
      </w:divBdr>
    </w:div>
    <w:div w:id="1251700238">
      <w:bodyDiv w:val="1"/>
      <w:marLeft w:val="0"/>
      <w:marRight w:val="0"/>
      <w:marTop w:val="0"/>
      <w:marBottom w:val="0"/>
      <w:divBdr>
        <w:top w:val="none" w:sz="0" w:space="0" w:color="auto"/>
        <w:left w:val="none" w:sz="0" w:space="0" w:color="auto"/>
        <w:bottom w:val="none" w:sz="0" w:space="0" w:color="auto"/>
        <w:right w:val="none" w:sz="0" w:space="0" w:color="auto"/>
      </w:divBdr>
    </w:div>
    <w:div w:id="162084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Nuttall</dc:creator>
  <cp:lastModifiedBy>Sarah Sweeney</cp:lastModifiedBy>
  <cp:revision>2</cp:revision>
  <cp:lastPrinted>2014-09-23T15:21:00Z</cp:lastPrinted>
  <dcterms:created xsi:type="dcterms:W3CDTF">2018-03-21T17:18:00Z</dcterms:created>
  <dcterms:modified xsi:type="dcterms:W3CDTF">2018-03-21T17:18:00Z</dcterms:modified>
</cp:coreProperties>
</file>